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64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vm7e4dphvn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Створення безбар’єрного простору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64" w:lineRule="auto"/>
        <w:jc w:val="center"/>
        <w:rPr/>
      </w:pPr>
      <w:bookmarkStart w:colFirst="0" w:colLast="0" w:name="_7rfv9gjzliua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Укази Президента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33cc"/>
            <w:sz w:val="24"/>
            <w:szCs w:val="24"/>
            <w:u w:val="single"/>
            <w:rtl w:val="0"/>
          </w:rPr>
          <w:t xml:space="preserve">Указ Президента України від 03 грудня 2020 року № 533 “Про забезпечення створення безбар’єрного простору в Україні”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64" w:lineRule="auto"/>
        <w:jc w:val="center"/>
        <w:rPr>
          <w:color w:val="000000"/>
          <w:sz w:val="24"/>
          <w:szCs w:val="24"/>
        </w:rPr>
      </w:pPr>
      <w:bookmarkStart w:colFirst="0" w:colLast="0" w:name="_kr0pbz57yt02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Розпорядження Кабінету Міністрів України</w:t>
      </w:r>
    </w:p>
    <w:p w:rsidR="00000000" w:rsidDel="00000000" w:rsidP="00000000" w:rsidRDefault="00000000" w:rsidRPr="00000000" w14:paraId="00000007">
      <w:pPr>
        <w:shd w:fill="ffffff" w:val="clear"/>
        <w:spacing w:after="100" w:before="100" w:line="240" w:lineRule="auto"/>
        <w:ind w:left="0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від 14.04.2021 №366 “Про схвалення Національної стратегії із створення безбар’єрного простору в Україні на період до 2030 року”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від 04.08.2021 №883 “Про затвердження плану заходів на 2021 і 2022 роки  з реалізації Національної стратегії із створення безбар’єрного  простору в Україні на період до 2030 року”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40" w:lineRule="auto"/>
        <w:ind w:left="180" w:right="180" w:firstLine="660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color w:val="0033cc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33cc"/>
            <w:sz w:val="24"/>
            <w:szCs w:val="24"/>
            <w:u w:val="single"/>
            <w:rtl w:val="0"/>
          </w:rPr>
          <w:t xml:space="preserve">від 11 листопада 2022 року № 1041-р “Про затвердження плану заходів на IV квартал 2022 року з реалізації Національної стратегії із створення безбар’єрного простору в Україні на період до 2030 року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33cc"/>
          <w:sz w:val="24"/>
          <w:szCs w:val="24"/>
          <w:u w:val="single"/>
          <w:rtl w:val="0"/>
        </w:rPr>
        <w:t xml:space="preserve">”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40" w:lineRule="auto"/>
        <w:ind w:left="0" w:right="340" w:firstLine="0"/>
        <w:jc w:val="left"/>
        <w:rPr>
          <w:rFonts w:ascii="Times New Roman" w:cs="Times New Roman" w:eastAsia="Times New Roman" w:hAnsi="Times New Roman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64" w:lineRule="auto"/>
        <w:jc w:val="center"/>
        <w:rPr>
          <w:rFonts w:ascii="Times New Roman" w:cs="Times New Roman" w:eastAsia="Times New Roman" w:hAnsi="Times New Roman"/>
          <w:color w:val="0033cc"/>
          <w:sz w:val="24"/>
          <w:szCs w:val="24"/>
          <w:u w:val="single"/>
        </w:rPr>
      </w:pPr>
      <w:bookmarkStart w:colFirst="0" w:colLast="0" w:name="_pxw15sm0y1eh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Міністерство освіти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00" w:before="100" w:line="240" w:lineRule="auto"/>
        <w:ind w:left="0" w:right="340" w:firstLine="0"/>
        <w:jc w:val="left"/>
        <w:rPr>
          <w:rFonts w:ascii="Times New Roman" w:cs="Times New Roman" w:eastAsia="Times New Roman" w:hAnsi="Times New Roman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color w:val="0033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Лист Міністерства освіти і науки України від 04.11 2021 № 1-19028-21 "Щодо проведення всеукраїнської інформаційно-просвітницької кампанії «ДЛЯ ДІТЕЙ суспільство без бар’єрів»" 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33cc"/>
            <w:sz w:val="24"/>
            <w:szCs w:val="24"/>
            <w:rtl w:val="0"/>
          </w:rPr>
          <w:t xml:space="preserve">Завантажити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color w:val="0033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Лист Управління освіти і науки ОДА від 18.11.2021 №06-14/3918  "Щодо проведення всеукраїнської інформаційно-просвітницької кампанії «ДЛЯ ДІТЕЙ суспільство без бар’єрів»"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33cc"/>
            <w:sz w:val="24"/>
            <w:szCs w:val="24"/>
            <w:rtl w:val="0"/>
          </w:rPr>
          <w:t xml:space="preserve">Завантажити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color w:val="0033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Лист Міністерства освіти і науки України від 18 лютого 2022 року № 1/2813-22 «Про проведення всеукраїнської інформаційно-просвітницької кампанії «ДЛЯ ДІТЕЙ суспільство без бар’єрів»»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33cc"/>
            <w:sz w:val="24"/>
            <w:szCs w:val="24"/>
            <w:rtl w:val="0"/>
          </w:rPr>
          <w:t xml:space="preserve">Завантажити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00" w:before="100" w:line="240" w:lineRule="auto"/>
        <w:ind w:left="180" w:right="180" w:firstLine="66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64" w:lineRule="auto"/>
        <w:jc w:val="center"/>
        <w:rPr>
          <w:sz w:val="24"/>
          <w:szCs w:val="24"/>
        </w:rPr>
      </w:pPr>
      <w:bookmarkStart w:colFirst="0" w:colLast="0" w:name="_kd53qv8wlqpz" w:id="4"/>
      <w:bookmarkEnd w:id="4"/>
      <w:r w:rsidDel="00000000" w:rsidR="00000000" w:rsidRPr="00000000">
        <w:rPr>
          <w:sz w:val="24"/>
          <w:szCs w:val="24"/>
          <w:rtl w:val="0"/>
        </w:rPr>
        <w:t xml:space="preserve">Інформаційні матеріали</w:t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Електронна версія «Довідника безбар’єрності»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презентованого Першою леді України Оленою Зеленською в Міжнародний день загального доступу до інформації</w:t>
      </w:r>
    </w:p>
    <w:p w:rsidR="00000000" w:rsidDel="00000000" w:rsidP="00000000" w:rsidRDefault="00000000" w:rsidRPr="00000000" w14:paraId="00000015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color w:val="0033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Комунікаційна стратегія з реалізації Національної стратегії із створення безбар’єрного простору в Україні на період до 2030 року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33cc"/>
            <w:sz w:val="24"/>
            <w:szCs w:val="24"/>
            <w:rtl w:val="0"/>
          </w:rPr>
          <w:t xml:space="preserve">Завантажити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240" w:lineRule="auto"/>
        <w:ind w:left="0" w:right="34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Навчальний відеокурс «Безбар’єрна грамотність»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00" w:before="100" w:line="240" w:lineRule="auto"/>
        <w:ind w:left="180" w:right="180" w:firstLine="660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00" w:before="100" w:line="240" w:lineRule="auto"/>
        <w:ind w:left="180" w:right="180" w:firstLine="660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on.cg.gov.ua/web_docs/2143/2021/11/docs/%20%D0%B1%D0%B0%D1%80%D1%8C%D0%B5%D1%80%D1%96%D0%B2docx_2021_11_18_15_04_12.docx" TargetMode="External"/><Relationship Id="rId10" Type="http://schemas.openxmlformats.org/officeDocument/2006/relationships/hyperlink" Target="https://uon.cg.gov.ua/web_docs/2143/2021/11/docs/1_19028-21.pdf" TargetMode="External"/><Relationship Id="rId13" Type="http://schemas.openxmlformats.org/officeDocument/2006/relationships/hyperlink" Target="https://bf.in.ua/" TargetMode="External"/><Relationship Id="rId12" Type="http://schemas.openxmlformats.org/officeDocument/2006/relationships/hyperlink" Target="https://uon.cg.gov.ua/web_docs/2143/2021/11/docs/2%20%20%20%20%20%20%20%20%20%201_2813-22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akon.rada.gov.ua/laws/show/1041-2022-%D1%80#Text" TargetMode="External"/><Relationship Id="rId15" Type="http://schemas.openxmlformats.org/officeDocument/2006/relationships/hyperlink" Target="https://osvita.diia.gov.ua/courses/barrier-free-literacy" TargetMode="External"/><Relationship Id="rId14" Type="http://schemas.openxmlformats.org/officeDocument/2006/relationships/hyperlink" Target="https://uon.cg.gov.ua/web_docs/2143/2021/11/docs/4%20%20%20%20%20%D0%9A%D0%BE%D0%BC%D1%83%D0%BD%D1%96%D0%BA%D0%B0%D1%86%D1%96%D0%B9%D0%BD%D0%B0%20%D1%81%D1%82%D1%80%D0%B0%D1%82%D0%B5%D0%B3%D1%96%D1%8F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zakon.rada.gov.ua/laws/show/533/2020#Text" TargetMode="External"/><Relationship Id="rId7" Type="http://schemas.openxmlformats.org/officeDocument/2006/relationships/hyperlink" Target="https://www.kmu.gov.ua/npas/pro-shvalennya-nacionalnoyi-strategiyi-iz-stvorennya-bezbaryernogo-prostoru-v-ukrayini-na-period-do-t140421" TargetMode="External"/><Relationship Id="rId8" Type="http://schemas.openxmlformats.org/officeDocument/2006/relationships/hyperlink" Target="https://www.kmu.gov.ua/npas/pro-zatverdzhennya-planu-zahodiv-na-2021-i-2022-roki-z-realizaciyi-nacionalnoyi-s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